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95" w:rsidRDefault="00AF2588" w:rsidP="00C27695">
      <w:pPr>
        <w:spacing w:beforeLines="50" w:line="480" w:lineRule="auto"/>
        <w:jc w:val="center"/>
        <w:rPr>
          <w:rFonts w:ascii="华文中宋" w:eastAsia="华文中宋" w:hAnsi="华文中宋" w:cstheme="minorEastAsia" w:hint="eastAsia"/>
          <w:szCs w:val="32"/>
        </w:rPr>
      </w:pPr>
      <w:r w:rsidRPr="00C27695">
        <w:rPr>
          <w:rFonts w:ascii="华文中宋" w:eastAsia="华文中宋" w:hAnsi="华文中宋" w:cstheme="minorEastAsia" w:hint="eastAsia"/>
          <w:szCs w:val="32"/>
        </w:rPr>
        <w:t>广东省司法厅关于印发</w:t>
      </w:r>
    </w:p>
    <w:p w:rsidR="000C2A65" w:rsidRPr="00C27695" w:rsidRDefault="00AF2588" w:rsidP="00C27695">
      <w:pPr>
        <w:spacing w:beforeLines="50" w:line="480" w:lineRule="auto"/>
        <w:jc w:val="center"/>
        <w:rPr>
          <w:rFonts w:ascii="华文中宋" w:eastAsia="华文中宋" w:hAnsi="华文中宋" w:cstheme="minorEastAsia"/>
          <w:szCs w:val="32"/>
        </w:rPr>
      </w:pPr>
      <w:r w:rsidRPr="00C27695">
        <w:rPr>
          <w:rFonts w:ascii="华文中宋" w:eastAsia="华文中宋" w:hAnsi="华文中宋" w:cstheme="minorEastAsia" w:hint="eastAsia"/>
          <w:szCs w:val="32"/>
        </w:rPr>
        <w:t>《广东省司法行政视频会见管理办法》</w:t>
      </w:r>
      <w:r w:rsidRPr="00C27695">
        <w:rPr>
          <w:rFonts w:ascii="华文中宋" w:eastAsia="华文中宋" w:hAnsi="华文中宋" w:cstheme="minorEastAsia" w:hint="eastAsia"/>
          <w:szCs w:val="32"/>
        </w:rPr>
        <w:t>的通知</w:t>
      </w:r>
    </w:p>
    <w:p w:rsidR="000C2A65" w:rsidRDefault="00AF2588" w:rsidP="00C27695">
      <w:pPr>
        <w:spacing w:beforeLines="50" w:line="480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docnumber"/>
      <w:bookmarkStart w:id="1" w:name="_GoBack"/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粤司</w:t>
      </w:r>
      <w:proofErr w:type="gramStart"/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规</w:t>
      </w:r>
      <w:proofErr w:type="gramEnd"/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〔</w:t>
      </w:r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2020</w:t>
      </w:r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〕</w:t>
      </w:r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napToGrid w:val="0"/>
          <w:sz w:val="24"/>
          <w:szCs w:val="24"/>
        </w:rPr>
        <w:t>号</w:t>
      </w:r>
      <w:bookmarkEnd w:id="0"/>
    </w:p>
    <w:bookmarkEnd w:id="1"/>
    <w:p w:rsidR="000C2A65" w:rsidRDefault="000C2A65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各地级以上市司法局，省监狱局、省戒毒局：</w:t>
      </w:r>
    </w:p>
    <w:p w:rsidR="000C2A65" w:rsidRDefault="00AF2588" w:rsidP="00C27695">
      <w:pPr>
        <w:spacing w:beforeLines="50"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广东省司法行政视频会见管理办法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已经广东省司法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厅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厅长办公会议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审议通过，现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印发给你们，请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遵照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执行。</w:t>
      </w:r>
    </w:p>
    <w:p w:rsidR="000C2A65" w:rsidRDefault="000C2A65" w:rsidP="00C27695">
      <w:pPr>
        <w:spacing w:beforeLines="50" w:line="480" w:lineRule="auto"/>
        <w:ind w:firstLineChars="1094" w:firstLine="2625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0C2A65" w:rsidP="00C27695">
      <w:pPr>
        <w:spacing w:beforeLines="50" w:line="480" w:lineRule="auto"/>
        <w:ind w:firstLineChars="1094" w:firstLine="2625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ind w:firstLineChars="1094" w:firstLine="2625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广东省司法厅</w:t>
      </w:r>
    </w:p>
    <w:p w:rsidR="000C2A65" w:rsidRDefault="00AF2588" w:rsidP="00C27695">
      <w:pPr>
        <w:spacing w:beforeLines="50" w:line="480" w:lineRule="auto"/>
        <w:ind w:firstLineChars="1094" w:firstLine="2625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</w:p>
    <w:p w:rsidR="000C2A65" w:rsidRDefault="000C2A65" w:rsidP="00C27695">
      <w:pPr>
        <w:spacing w:beforeLines="50" w:line="480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0C2A65" w:rsidP="00C27695">
      <w:pPr>
        <w:spacing w:beforeLines="50" w:line="480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Pr="00C27695" w:rsidRDefault="00AF2588" w:rsidP="00C27695">
      <w:pPr>
        <w:spacing w:beforeLines="50" w:line="480" w:lineRule="auto"/>
        <w:jc w:val="center"/>
        <w:rPr>
          <w:rFonts w:ascii="华文中宋" w:eastAsia="华文中宋" w:hAnsi="华文中宋" w:cs="方正小标宋简体"/>
          <w:szCs w:val="32"/>
        </w:rPr>
      </w:pPr>
      <w:r w:rsidRPr="00C27695">
        <w:rPr>
          <w:rFonts w:ascii="华文中宋" w:eastAsia="华文中宋" w:hAnsi="华文中宋" w:cs="方正小标宋简体" w:hint="eastAsia"/>
          <w:szCs w:val="32"/>
        </w:rPr>
        <w:t>广东省</w:t>
      </w:r>
      <w:r w:rsidRPr="00C27695">
        <w:rPr>
          <w:rFonts w:ascii="华文中宋" w:eastAsia="华文中宋" w:hAnsi="华文中宋" w:cs="方正小标宋简体" w:hint="eastAsia"/>
          <w:szCs w:val="32"/>
        </w:rPr>
        <w:t>司法行政</w:t>
      </w:r>
      <w:r w:rsidRPr="00C27695">
        <w:rPr>
          <w:rFonts w:ascii="华文中宋" w:eastAsia="华文中宋" w:hAnsi="华文中宋" w:cs="方正小标宋简体" w:hint="eastAsia"/>
          <w:szCs w:val="32"/>
        </w:rPr>
        <w:t>视频</w:t>
      </w:r>
      <w:r w:rsidRPr="00C27695">
        <w:rPr>
          <w:rFonts w:ascii="华文中宋" w:eastAsia="华文中宋" w:hAnsi="华文中宋" w:cs="方正小标宋简体" w:hint="eastAsia"/>
          <w:szCs w:val="32"/>
        </w:rPr>
        <w:t>会见管理办法</w:t>
      </w:r>
    </w:p>
    <w:p w:rsidR="000C2A65" w:rsidRDefault="000C2A65" w:rsidP="00C27695">
      <w:pPr>
        <w:adjustRightInd w:val="0"/>
        <w:snapToGrid w:val="0"/>
        <w:spacing w:beforeLines="50" w:line="480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1"/>
        <w:numPr>
          <w:ilvl w:val="0"/>
          <w:numId w:val="0"/>
        </w:numPr>
        <w:spacing w:beforeLines="50" w:line="480" w:lineRule="auto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第一章　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则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第一条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为规范全省司法行政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会见工作，根据《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中华人民共和国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监狱法》《中华人民共和国禁毒法》《戒毒条例》《罪犯会见通信规定》</w:t>
      </w:r>
      <w:r>
        <w:rPr>
          <w:rFonts w:asciiTheme="minorEastAsia" w:eastAsiaTheme="minorEastAsia" w:hAnsiTheme="minorEastAsia" w:cstheme="minorEastAsia" w:hint="eastAsia"/>
          <w:kern w:val="10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kern w:val="10"/>
          <w:sz w:val="24"/>
          <w:szCs w:val="24"/>
        </w:rPr>
        <w:t>&lt;</w:t>
      </w:r>
      <w:r>
        <w:rPr>
          <w:rFonts w:asciiTheme="minorEastAsia" w:eastAsiaTheme="minorEastAsia" w:hAnsiTheme="minorEastAsia" w:cstheme="minorEastAsia" w:hint="eastAsia"/>
          <w:kern w:val="10"/>
          <w:sz w:val="24"/>
          <w:szCs w:val="24"/>
        </w:rPr>
        <w:t>罪犯会见通信规定</w:t>
      </w:r>
      <w:r>
        <w:rPr>
          <w:rFonts w:asciiTheme="minorEastAsia" w:eastAsiaTheme="minorEastAsia" w:hAnsiTheme="minorEastAsia" w:cstheme="minorEastAsia" w:hint="eastAsia"/>
          <w:kern w:val="10"/>
          <w:sz w:val="24"/>
          <w:szCs w:val="24"/>
        </w:rPr>
        <w:t>&gt;</w:t>
      </w:r>
      <w:r>
        <w:rPr>
          <w:rFonts w:asciiTheme="minorEastAsia" w:eastAsiaTheme="minorEastAsia" w:hAnsiTheme="minorEastAsia" w:cstheme="minorEastAsia" w:hint="eastAsia"/>
          <w:kern w:val="10"/>
          <w:sz w:val="24"/>
          <w:szCs w:val="24"/>
        </w:rPr>
        <w:t>的补充</w:t>
      </w:r>
      <w:r>
        <w:rPr>
          <w:rFonts w:asciiTheme="minorEastAsia" w:eastAsiaTheme="minorEastAsia" w:hAnsiTheme="minorEastAsia" w:cstheme="minorEastAsia" w:hint="eastAsia"/>
          <w:kern w:val="10"/>
          <w:sz w:val="24"/>
          <w:szCs w:val="24"/>
        </w:rPr>
        <w:lastRenderedPageBreak/>
        <w:t>规定》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《司法行政机关强制隔离戒毒管理工作规定》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等相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关法律法规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和有关规定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，结合我省实际，制定本办法。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第二条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会见是指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服刑、戒毒人员在监狱、戒毒单位内通过现代信息技术手段与其亲属、监护人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或其他人员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进行可视化会面交谈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广东省内监狱（戒毒）单位的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服刑（戒毒）人员亲属、监护人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原则上在居住地县级司法行政机关指定的地点与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视频会见。确有需要的，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可不受户籍和居住地限制，选择在省内开放视频会见的地点与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服刑（戒毒）人员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条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是监狱、戒毒单位现场会见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探访的拓展和补充，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不改变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会见、探访工作性质和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相关工作职责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服刑、戒毒人员可分别向监狱、戒毒单位，服刑、戒毒人员的亲属、监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护人可向县级司法行政机关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提出视频会见申请，经批准进行视频会见。监狱、戒毒单位和各级司法行政机关不得向服刑、戒毒人员及其亲属、监护人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收取任何费用。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选择采用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或现场方式会见（探访），监狱、戒毒单位不得强迫或指定会见（探访）方式。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坚持依法依规、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严格执法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便民惠民、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促进改造戒治的原则。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优先适用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于下列人员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（一）积极改造戒治、表现突出的服刑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戒毒人员；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（二）年老（幼）体弱、行动不便、路途较远的服刑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的亲属、监护人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改造戒治、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亲情帮教、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政策暖心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工作需要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优先适用的人员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服刑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戒毒人员优先适用的条件、范围、次数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省监狱管理局、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戒毒管理局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分别明确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并予以公布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0C2A65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1"/>
        <w:numPr>
          <w:ilvl w:val="0"/>
          <w:numId w:val="0"/>
        </w:numPr>
        <w:spacing w:beforeLines="50" w:line="480" w:lineRule="auto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章　申请预约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七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亲属、监护人向县级司法行政机关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首次提出视频会见申请的，应当说明服刑（戒毒）人员所在监狱（戒毒）单位名称，并持本人居民身份证（护照）、户口簿等能证明本人身份和与服刑（戒毒）人员关系的证件、证明，进行实人认证后办理申请手续。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不在同一户口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的亲属，应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提供乡镇（街道）、公证机构、户籍部门等出具的关系证明。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监狱、戒毒单位和县级司法行政机关应当登记备案。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八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亲属、监护人非首次申请的，持本人居民身份证（未成年人可凭户口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）到县级司法行政机关办理申请手续，也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可通过官方网站（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http://ychj.gdsf.gov.cn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及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“粤省事”微信小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程序、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“广东司法行政”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“广东掌上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12348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进行网上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九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亲属、监护人办理视频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申请手续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人或委托他人办理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县级司法行政机关办理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须持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居民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身份证和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其他申请会见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居民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身份证复印件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网上申请的，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实名注册，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并实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名登记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的基本信息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。未成年亲属的申请条件、程序可以适当放宽和简化。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服刑、戒毒人员提出视频会见申请，应当说明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拟会见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的亲属、监护人的姓名、与本人的关系及会见地点，监狱、戒毒单位审核其与亲属、监护人的关系。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十一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会见一般每月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次，每次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，每次会见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人数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一般不超过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。一次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会见折抵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次现场会见（探访）。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未成年服刑、戒毒人员会见次数可以适当放宽。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会见实行“领号预约”，一次会见视为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。视频会见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应根据自身实际，合理设置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时间和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号源数量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。视频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原则上安排在工作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时间，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号源在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会见系统中设定，网上公开。每月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日前应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确定下月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会见时间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号源数量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全省开放视频会见的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开放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，县级司法行政机关应当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每月开放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会见号源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司法所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每月开放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会见号源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以上。</w:t>
      </w:r>
    </w:p>
    <w:p w:rsidR="000C2A65" w:rsidRDefault="00AF2588" w:rsidP="00C27695">
      <w:pPr>
        <w:pStyle w:val="1"/>
        <w:numPr>
          <w:ilvl w:val="0"/>
          <w:numId w:val="0"/>
        </w:numPr>
        <w:spacing w:beforeLines="50" w:line="480" w:lineRule="auto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章　审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核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批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准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县级司法行政机关和监狱、戒毒单位应当对提出会见申请的亲属、监护人和服刑、戒毒人员是否符合会见条件进行审核和审批。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县级司法行政机关对符合会见条件的亲属、监护人，应当将其申请通知监狱、戒毒单位；不符合条件的，应当及时告知理由。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收到县级司法行政机关转来的会见申请后，应当及时审批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批准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会见的，应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当确定会见时间，及时通知县级司法行政机关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不批准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当告知不批准的理由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县级司法行政机关收到监狱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、戒毒单位的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审批结果后，应当及时通知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并将亲属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是否同意会见的信息及时反馈监狱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napToGrid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napToGrid/>
          <w:kern w:val="2"/>
          <w:sz w:val="24"/>
          <w:szCs w:val="24"/>
        </w:rPr>
        <w:t>监狱、戒毒单位应对服刑、戒毒人员视频会见申请进行审批，</w:t>
      </w:r>
      <w:proofErr w:type="gramStart"/>
      <w:r>
        <w:rPr>
          <w:rFonts w:asciiTheme="minorEastAsia" w:eastAsiaTheme="minorEastAsia" w:hAnsiTheme="minorEastAsia" w:cstheme="minorEastAsia" w:hint="eastAsia"/>
          <w:snapToGrid/>
          <w:kern w:val="2"/>
          <w:sz w:val="24"/>
          <w:szCs w:val="24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napToGrid/>
          <w:kern w:val="2"/>
          <w:sz w:val="24"/>
          <w:szCs w:val="24"/>
        </w:rPr>
        <w:t>是否批准会见的决定。</w:t>
      </w:r>
      <w:r>
        <w:rPr>
          <w:rFonts w:asciiTheme="minorEastAsia" w:eastAsiaTheme="minorEastAsia" w:hAnsiTheme="minorEastAsia" w:cstheme="minorEastAsia" w:hint="eastAsia"/>
          <w:snapToGrid/>
          <w:kern w:val="2"/>
          <w:sz w:val="24"/>
          <w:szCs w:val="24"/>
        </w:rPr>
        <w:t>批准会见的，应当将会见时间、会见人员及时通知相关县级司法行政机关；不予批准会见的，应当告知理由。县级司法行政机关收到监狱审批结果后，应当及时通知罪犯亲属、监护人，并将亲属、监护人是否同意会见的信息及时反馈监狱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5"/>
        <w:rPr>
          <w:rFonts w:asciiTheme="minorEastAsia" w:eastAsiaTheme="minorEastAsia" w:hAnsiTheme="minorEastAsia" w:cstheme="minorEastAsia"/>
          <w:snapToGrid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双方同时关押在不同监狱、戒毒单位的，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一方提出会见申请，经双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管单位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审核批准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，按约定时间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七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会见系统具备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申请审批进程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短信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告知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功能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，相关工作人员及申请会见人员应当及时查看掌握。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八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具有下列情形之一的，不得安排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会见：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（一）身份、关系等信息不真实或不相符的；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（二）有精神疾病的；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（三）与会见的服刑（戒毒）人员案情有关的；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其他影响监狱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、戒毒所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安全或者有碍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改造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十九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服刑人员具有下列情形之一的，不得安排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会见：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（一）被立案侦查、起诉、审判期间的；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（二）正在接受隔离审查的；</w:t>
      </w:r>
    </w:p>
    <w:p w:rsidR="000C2A65" w:rsidRDefault="00AF2588" w:rsidP="00C27695">
      <w:pPr>
        <w:tabs>
          <w:tab w:val="left" w:pos="7174"/>
        </w:tabs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（三）被集训、禁闭期间的；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（四）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严管级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（五）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其他影响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安全或者有碍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服刑人员改造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的。</w:t>
      </w:r>
    </w:p>
    <w:p w:rsidR="000C2A65" w:rsidRDefault="00AF2588" w:rsidP="00C27695">
      <w:pPr>
        <w:pStyle w:val="Style8"/>
        <w:spacing w:beforeLines="50" w:line="480" w:lineRule="auto"/>
        <w:ind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第二十条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戒毒人员具有下列情形之一的，不得安排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会见：</w:t>
      </w:r>
    </w:p>
    <w:p w:rsidR="000C2A65" w:rsidRDefault="00AF2588" w:rsidP="00C27695">
      <w:pPr>
        <w:pStyle w:val="Style8"/>
        <w:spacing w:beforeLines="50" w:line="480" w:lineRule="auto"/>
        <w:ind w:leftChars="200" w:left="640"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（一）正在生理脱毒治疗期间的；</w:t>
      </w:r>
    </w:p>
    <w:p w:rsidR="000C2A65" w:rsidRDefault="00AF2588" w:rsidP="00C27695">
      <w:pPr>
        <w:pStyle w:val="Style8"/>
        <w:spacing w:beforeLines="50" w:line="480" w:lineRule="auto"/>
        <w:ind w:leftChars="200" w:left="640"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（二）被使用保护性约束措施期间或接受单独管理的；</w:t>
      </w:r>
    </w:p>
    <w:p w:rsidR="000C2A65" w:rsidRDefault="00AF2588" w:rsidP="00C27695">
      <w:pPr>
        <w:pStyle w:val="Style8"/>
        <w:spacing w:beforeLines="50" w:line="480" w:lineRule="auto"/>
        <w:ind w:leftChars="200" w:left="640"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其他影响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安全或者有碍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戒毒人员戒治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制定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审核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规定和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程序，规范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程，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严格审核把关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应在申请提出之日起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个工作日内完成审批。会见申请超人数、超时长或其他人员因工作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需会见等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特殊情况的，审批时限可适当延长，延长时间不得超过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个工作日。</w:t>
      </w:r>
    </w:p>
    <w:p w:rsidR="000C2A65" w:rsidRDefault="000C2A65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1"/>
        <w:numPr>
          <w:ilvl w:val="0"/>
          <w:numId w:val="0"/>
        </w:numPr>
        <w:spacing w:beforeLines="50" w:line="480" w:lineRule="auto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章　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现场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管理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第二十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当持本人居民身份证（未成年人凭户口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），在监狱、戒毒单位确定的会见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前，到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达县级司法行政机关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定的会见场所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办理会见手续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因故变更会见时间、会见人的，应当提前告知，并重新办理预约申请手续；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无故迟到或爽约的，当月不再安排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第二十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视频会见前，县级司法行政机关应当查验、核实会见人身份证件，进行安全检查，落实管控措施，告知其应当遵守视频会见管理规定，组织有序会见；会见人首次视频会见应当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签署《广东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司法行政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会见承诺书》（见附件）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有下列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情形之一不得参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会见：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（一）不在监狱、戒毒单位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批准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会见名单的；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（二）未携带本人身份证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原件或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本人实际与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身份证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不符的；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（三）身份证件过期或模糊、无法辨识真假的。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第二十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视频会见管理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，有下列情形之一的，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县级司法行政机关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可以不予安排或者取消会见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，并经地级以上市司法局批准、省司法厅备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案，视情节在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个月内暂停会见；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违反国家法律法规的，依法移交司法机关处理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（一）携带危险品或管制物品，有暴力倾向的；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）无理取闹、扰乱正常秩序或辱骂威胁工作人员的；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）大声喧哗、举止不文明，经工作人员劝阻不予改正的；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）呈现醉酒状态的；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）有明显精神病症状的；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）易突发重大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病或引发猝死的；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）未经允许，擅自进入会见室的；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（八）多次无故迟到或爽约，情节严重的；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）不遵守司法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行政机关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办公场所管理规定的。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第二十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监狱、戒毒单位应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做好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警力安排及相关管控措施，确保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服刑、戒毒人员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准时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参加会见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七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视频会见时，监狱、戒毒单位和县级司法行政机关应当实时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监视监听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，全程录音录像，做好登记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八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视频会见一般应当使用普通话。具备现场翻译条件的，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少数民族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外国籍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的服刑、戒毒人员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使用本民族或本国语言，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普通话交流确有困难的会见人会见时可使用当地方言。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二十九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视频会见过程中，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有下列情形之一的，监狱、戒毒单位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或县级司法行政机关应当立即中止会见，对服刑、戒毒人员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按照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相关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考核奖罚规定进行处罚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；经地级以上市司法局批准、省司法厅备案，对会见人可以视情节在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个月内暂停视频会见；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违反国家法律法规的，依法移交司法机关处理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扰乱会见场所秩序的；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使用隐语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、暗语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非规定语种交谈，不听劝阻的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）谈论有碍服刑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、戒毒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人员改造戒治或涉及监狱、戒毒单位保密内容的；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携带或使用手机、录音、摄影（像）设备的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）其他违反会见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探访规定情形的。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和县级司法行政机关应当明确视频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管理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部门和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岗位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，建立日常工作台账，并予以公示，落实责任。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司法行政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和警察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应严格执法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规范管理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清正廉洁，不得有下列行为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（一）擅自离岗；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（二）随意延长、缩短会见时间；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（三）私自安排未经批准人员参与会见；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（四）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吃拿卡要、推诿扯皮；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（五）泄露服刑、戒毒人员及其亲属、监护人的个人信息；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）其他违反会见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、探访规定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的行为。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监狱、戒毒单位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和县级司法行政机关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对会见人、会见对象的隐私和个人信息，应当予以保密，未经许可不得向第三方提供。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1"/>
        <w:numPr>
          <w:ilvl w:val="0"/>
          <w:numId w:val="0"/>
        </w:numPr>
        <w:spacing w:beforeLines="50" w:line="480" w:lineRule="auto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章　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场所和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设施管理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第三十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监狱、戒毒单位和县级司法行政机关设置的视频会见场所，应当符合相关标准和要求，配备相应基础网络和设施设备。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第三十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监狱、戒毒单位和县级司法行政机关负责本单位视频会见场所的日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常管理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和视频会见设备的运行维护。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省监狱管理局、省戒毒管理局负责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频等信息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存储和分析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判。省司法厅负责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统筹开展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会见系统的建设、升级和运行维护。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第三十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未经视频会见系统申请预约、审核批准，不得通过点对点连接进行视频会见。特殊情况需报省司法厅批准。</w:t>
      </w:r>
    </w:p>
    <w:p w:rsidR="000C2A65" w:rsidRDefault="00AF2588" w:rsidP="00C27695">
      <w:pPr>
        <w:spacing w:beforeLines="50" w:line="48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第三十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因系统升级、网络故障、自然灾害、公共卫生安全、重大社会政治事件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等影响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，以及监狱、戒毒单位监管安全需要等特殊情形暂停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会见的，应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及时发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布公告，并报省司法厅备案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（一）网络、设备故障或其他原因的，由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涉及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单位负责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发布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（二）会见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探访规定调整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，由省监狱管理局、省戒毒管理局负责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发布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0C2A65" w:rsidRDefault="00AF2588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（三）系统升级的，由省司法厅负责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发布。</w:t>
      </w:r>
    </w:p>
    <w:p w:rsidR="000C2A65" w:rsidRDefault="000C2A65" w:rsidP="00C27695">
      <w:pPr>
        <w:spacing w:beforeLines="50"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1"/>
        <w:numPr>
          <w:ilvl w:val="0"/>
          <w:numId w:val="0"/>
        </w:numPr>
        <w:spacing w:beforeLines="50" w:line="480" w:lineRule="auto"/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章　附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则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七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本办法所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称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亲属是指婚姻、血缘、法律拟制与服刑、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形成的社会关系，包括配偶、父母、子女、兄弟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姐妹等；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服刑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会见的亲属、监护人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会见对象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亲属、监护人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会见的服刑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戒毒人员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会见系统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省司法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厅统一建设的广东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司法行政远程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帮教探视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系统的简称，包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会见人使用的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预约子系统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管理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使用的管理子系统。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八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开放视频会见的司法所（分局）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行使本办法规定的县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级司法行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政机关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权责。</w:t>
      </w:r>
    </w:p>
    <w:p w:rsidR="000C2A65" w:rsidRDefault="00AF2588" w:rsidP="00C27695">
      <w:pPr>
        <w:pStyle w:val="Style8"/>
        <w:spacing w:beforeLines="50" w:line="480" w:lineRule="auto"/>
        <w:ind w:firstLineChars="202" w:firstLine="48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九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本办法中的“以上”“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”均含本数。</w:t>
      </w:r>
    </w:p>
    <w:p w:rsidR="000C2A65" w:rsidRDefault="00AF2588" w:rsidP="00C27695">
      <w:pPr>
        <w:pStyle w:val="Style8"/>
        <w:spacing w:beforeLines="50" w:line="480" w:lineRule="auto"/>
        <w:ind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十条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本办法由广东省司法厅负责解释，自印发之日起施行。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广东司法行政远程会见管理办法（试行）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》（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粤司办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776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号）同时废止。</w:t>
      </w:r>
    </w:p>
    <w:p w:rsidR="000C2A65" w:rsidRDefault="000C2A65" w:rsidP="00C27695">
      <w:pPr>
        <w:spacing w:beforeLines="50"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ind w:firstLine="639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附件：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广东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司法行政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会见承诺书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 w:type="page"/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t>附件</w:t>
      </w:r>
    </w:p>
    <w:p w:rsidR="000C2A65" w:rsidRPr="00C27695" w:rsidRDefault="00AF2588" w:rsidP="00C27695">
      <w:pPr>
        <w:spacing w:beforeLines="50" w:line="480" w:lineRule="auto"/>
        <w:jc w:val="center"/>
        <w:textAlignment w:val="bottom"/>
        <w:rPr>
          <w:rFonts w:ascii="华文中宋" w:eastAsia="华文中宋" w:hAnsi="华文中宋" w:cstheme="minorEastAsia"/>
          <w:b/>
          <w:bCs/>
          <w:szCs w:val="32"/>
        </w:rPr>
      </w:pPr>
      <w:r w:rsidRPr="00C27695">
        <w:rPr>
          <w:rFonts w:ascii="华文中宋" w:eastAsia="华文中宋" w:hAnsi="华文中宋" w:cstheme="minorEastAsia" w:hint="eastAsia"/>
          <w:szCs w:val="32"/>
        </w:rPr>
        <w:t>广东</w:t>
      </w:r>
      <w:r w:rsidRPr="00C27695">
        <w:rPr>
          <w:rFonts w:ascii="华文中宋" w:eastAsia="华文中宋" w:hAnsi="华文中宋" w:cstheme="minorEastAsia" w:hint="eastAsia"/>
          <w:szCs w:val="32"/>
        </w:rPr>
        <w:t>省</w:t>
      </w:r>
      <w:r w:rsidRPr="00C27695">
        <w:rPr>
          <w:rFonts w:ascii="华文中宋" w:eastAsia="华文中宋" w:hAnsi="华文中宋" w:cstheme="minorEastAsia" w:hint="eastAsia"/>
          <w:szCs w:val="32"/>
        </w:rPr>
        <w:t>司法行政</w:t>
      </w:r>
      <w:r w:rsidRPr="00C27695">
        <w:rPr>
          <w:rFonts w:ascii="华文中宋" w:eastAsia="华文中宋" w:hAnsi="华文中宋" w:cstheme="minorEastAsia" w:hint="eastAsia"/>
          <w:szCs w:val="32"/>
        </w:rPr>
        <w:t>视频</w:t>
      </w:r>
      <w:r w:rsidRPr="00C27695">
        <w:rPr>
          <w:rFonts w:ascii="华文中宋" w:eastAsia="华文中宋" w:hAnsi="华文中宋" w:cstheme="minorEastAsia" w:hint="eastAsia"/>
          <w:szCs w:val="32"/>
        </w:rPr>
        <w:t>会见承诺书</w:t>
      </w:r>
    </w:p>
    <w:p w:rsidR="000C2A65" w:rsidRDefault="00AF2588" w:rsidP="00C27695">
      <w:pPr>
        <w:spacing w:beforeLines="50" w:line="480" w:lineRule="auto"/>
        <w:ind w:left="1" w:firstLineChars="200" w:firstLine="480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会见是广东司法行政系统实施亲情帮教、提高改造戒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治质量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的有力举措，是一项便民、惠民工程。本人郑重承诺：</w:t>
      </w:r>
    </w:p>
    <w:p w:rsidR="000C2A65" w:rsidRDefault="00AF2588" w:rsidP="00C27695">
      <w:pPr>
        <w:spacing w:beforeLines="50" w:line="480" w:lineRule="auto"/>
        <w:ind w:left="1" w:firstLineChars="200" w:firstLine="480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一、严格遵守《广东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司法行政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会见管理办法》的规定；</w:t>
      </w:r>
    </w:p>
    <w:p w:rsidR="000C2A65" w:rsidRDefault="00AF2588" w:rsidP="00C27695">
      <w:pPr>
        <w:spacing w:beforeLines="50" w:line="480" w:lineRule="auto"/>
        <w:ind w:left="1" w:firstLineChars="200" w:firstLine="480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二、举止文明，不大声喧哗，听从工作人员安排；</w:t>
      </w:r>
    </w:p>
    <w:p w:rsidR="000C2A65" w:rsidRDefault="00AF2588" w:rsidP="00C27695">
      <w:pPr>
        <w:spacing w:beforeLines="50" w:line="480" w:lineRule="auto"/>
        <w:ind w:left="1" w:firstLineChars="200" w:firstLine="480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三、不无理取闹、扰乱正常秩序或辱骂威胁工作人员；</w:t>
      </w:r>
    </w:p>
    <w:p w:rsidR="000C2A65" w:rsidRDefault="00AF2588" w:rsidP="00C27695">
      <w:pPr>
        <w:spacing w:beforeLines="50" w:line="480" w:lineRule="auto"/>
        <w:ind w:left="1" w:firstLineChars="200" w:firstLine="480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未经允许擅自进入会见室；</w:t>
      </w:r>
    </w:p>
    <w:p w:rsidR="000C2A65" w:rsidRDefault="00AF2588" w:rsidP="00C27695">
      <w:pPr>
        <w:spacing w:beforeLines="50" w:line="480" w:lineRule="auto"/>
        <w:ind w:left="1" w:firstLineChars="200" w:firstLine="480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五、不谈论有碍服刑人员改造、戒毒人员戒治或涉及监狱、戒毒单位保密的内容；</w:t>
      </w:r>
    </w:p>
    <w:p w:rsidR="000C2A65" w:rsidRDefault="00AF2588" w:rsidP="00C27695">
      <w:pPr>
        <w:spacing w:beforeLines="50" w:line="480" w:lineRule="auto"/>
        <w:ind w:left="1" w:firstLineChars="200" w:firstLine="480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六、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未经批准使用手机等移动通讯设备，或使用摄像录音设备进行录音、录像、照相；</w:t>
      </w:r>
    </w:p>
    <w:p w:rsidR="000C2A65" w:rsidRDefault="00AF2588" w:rsidP="00C27695">
      <w:pPr>
        <w:spacing w:beforeLines="50" w:line="480" w:lineRule="auto"/>
        <w:ind w:left="1" w:firstLine="640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七、充分发挥亲情感化作用，教育、引导亲属积极改造（戒治）；</w:t>
      </w:r>
    </w:p>
    <w:p w:rsidR="000C2A65" w:rsidRDefault="00AF2588" w:rsidP="00C27695">
      <w:pPr>
        <w:spacing w:beforeLines="50" w:line="480" w:lineRule="auto"/>
        <w:ind w:left="1" w:firstLine="640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八、会见过程中保持平和心态，出现身体不适或者其它重大变故的，本人愿意承担一切后果和责任。</w:t>
      </w:r>
    </w:p>
    <w:p w:rsidR="000C2A65" w:rsidRDefault="000C2A65" w:rsidP="00C27695">
      <w:pPr>
        <w:spacing w:beforeLines="50" w:line="480" w:lineRule="auto"/>
        <w:ind w:left="1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C27695">
      <w:pPr>
        <w:spacing w:beforeLines="50" w:line="480" w:lineRule="auto"/>
        <w:ind w:left="1" w:firstLineChars="1000" w:firstLine="2399"/>
        <w:jc w:val="center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会见人签名（指模）：</w:t>
      </w:r>
    </w:p>
    <w:p w:rsidR="000C2A65" w:rsidRDefault="00AF2588" w:rsidP="00C27695">
      <w:pPr>
        <w:spacing w:beforeLines="50" w:line="480" w:lineRule="auto"/>
        <w:ind w:left="1" w:firstLineChars="1000" w:firstLine="2399"/>
        <w:jc w:val="center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日期：</w:t>
      </w:r>
    </w:p>
    <w:p w:rsidR="000C2A65" w:rsidRDefault="000C2A65" w:rsidP="00C27695">
      <w:pPr>
        <w:spacing w:beforeLines="50" w:line="480" w:lineRule="auto"/>
        <w:ind w:left="1" w:firstLine="640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C2A65" w:rsidRDefault="00AF2588" w:rsidP="000C2A65">
      <w:pPr>
        <w:spacing w:beforeLines="50" w:line="480" w:lineRule="auto"/>
        <w:ind w:left="1"/>
        <w:jc w:val="left"/>
        <w:textAlignment w:val="bottom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（承诺书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份，会见人、司法局各持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份；会见人超过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人的，分别签名或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由会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见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申请人代签）</w:t>
      </w:r>
    </w:p>
    <w:sectPr w:rsidR="000C2A65" w:rsidSect="000C2A65">
      <w:footerReference w:type="default" r:id="rId8"/>
      <w:pgSz w:w="11906" w:h="16838"/>
      <w:pgMar w:top="1757" w:right="1474" w:bottom="1757" w:left="1474" w:header="851" w:footer="1417" w:gutter="0"/>
      <w:cols w:space="720"/>
      <w:docGrid w:type="linesAndChars" w:linePitch="579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88" w:rsidRDefault="00AF2588" w:rsidP="000C2A65">
      <w:r>
        <w:separator/>
      </w:r>
    </w:p>
  </w:endnote>
  <w:endnote w:type="continuationSeparator" w:id="0">
    <w:p w:rsidR="00AF2588" w:rsidRDefault="00AF2588" w:rsidP="000C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65" w:rsidRDefault="00AF2588">
    <w:pPr>
      <w:pStyle w:val="a3"/>
      <w:framePr w:wrap="around" w:vAnchor="text" w:hAnchor="margin" w:xAlign="outside" w:yAlign="top"/>
      <w:ind w:leftChars="101" w:left="323" w:rightChars="101" w:right="323"/>
      <w:jc w:val="right"/>
      <w:rPr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ascii="宋体" w:eastAsia="宋体" w:hAnsi="宋体" w:hint="eastAsia"/>
        <w:sz w:val="28"/>
      </w:rPr>
      <w:t xml:space="preserve"> </w:t>
    </w:r>
    <w:r w:rsidR="000C2A65"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 </w:instrText>
    </w:r>
    <w:r w:rsidR="000C2A65">
      <w:rPr>
        <w:rFonts w:ascii="宋体" w:eastAsia="宋体" w:hAnsi="宋体" w:hint="eastAsia"/>
        <w:sz w:val="28"/>
      </w:rPr>
      <w:fldChar w:fldCharType="separate"/>
    </w:r>
    <w:r w:rsidR="00C27695">
      <w:rPr>
        <w:rStyle w:val="a5"/>
        <w:rFonts w:ascii="宋体" w:eastAsia="宋体" w:hAnsi="宋体"/>
        <w:noProof/>
        <w:sz w:val="28"/>
      </w:rPr>
      <w:t>1</w:t>
    </w:r>
    <w:r w:rsidR="000C2A65">
      <w:rPr>
        <w:rFonts w:ascii="宋体" w:eastAsia="宋体" w:hAnsi="宋体" w:hint="eastAsia"/>
        <w:sz w:val="28"/>
      </w:rPr>
      <w:fldChar w:fldCharType="end"/>
    </w:r>
    <w:r>
      <w:rPr>
        <w:rStyle w:val="a5"/>
        <w:rFonts w:ascii="宋体" w:eastAsia="宋体" w:hAnsi="宋体"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C2A65" w:rsidRDefault="000C2A6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88" w:rsidRDefault="00AF2588" w:rsidP="000C2A65">
      <w:r>
        <w:separator/>
      </w:r>
    </w:p>
  </w:footnote>
  <w:footnote w:type="continuationSeparator" w:id="0">
    <w:p w:rsidR="00AF2588" w:rsidRDefault="00AF2588" w:rsidP="000C2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4589"/>
    <w:multiLevelType w:val="multilevel"/>
    <w:tmpl w:val="78164589"/>
    <w:lvl w:ilvl="0">
      <w:start w:val="1"/>
      <w:numFmt w:val="japaneseCounting"/>
      <w:pStyle w:val="1"/>
      <w:lvlText w:val="%1、"/>
      <w:lvlJc w:val="left"/>
      <w:pPr>
        <w:ind w:left="672" w:hanging="6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6C0D5A"/>
    <w:rsid w:val="000C2A65"/>
    <w:rsid w:val="00AF2588"/>
    <w:rsid w:val="00C27695"/>
    <w:rsid w:val="4B6C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A65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0C2A65"/>
    <w:pPr>
      <w:numPr>
        <w:numId w:val="1"/>
      </w:numPr>
      <w:ind w:firstLine="0"/>
      <w:outlineLvl w:val="0"/>
    </w:pPr>
    <w:rPr>
      <w:rFonts w:ascii="黑体" w:eastAsia="黑体" w:hAnsi="黑体" w:cs="黑体"/>
      <w:snapToGrid w:val="0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2A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C2A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0C2A65"/>
  </w:style>
  <w:style w:type="paragraph" w:customStyle="1" w:styleId="Style8">
    <w:name w:val="_Style 8"/>
    <w:basedOn w:val="a"/>
    <w:qFormat/>
    <w:rsid w:val="000C2A65"/>
    <w:pPr>
      <w:ind w:firstLineChars="200" w:firstLine="420"/>
    </w:pPr>
    <w:rPr>
      <w:snapToGrid w:val="0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770</Words>
  <Characters>4391</Characters>
  <Application>Microsoft Office Word</Application>
  <DocSecurity>0</DocSecurity>
  <Lines>36</Lines>
  <Paragraphs>10</Paragraphs>
  <ScaleCrop>false</ScaleCrop>
  <Company>省司法厅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徐莉瑶(办公室)</dc:creator>
  <cp:lastModifiedBy>KKK</cp:lastModifiedBy>
  <cp:revision>2</cp:revision>
  <dcterms:created xsi:type="dcterms:W3CDTF">2020-09-04T09:15:00Z</dcterms:created>
  <dcterms:modified xsi:type="dcterms:W3CDTF">2020-09-04T09:24:00Z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