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翻译程序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一、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2023年省政府规章翻译项目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right="0" w:rightChars="0" w:firstLine="645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翻译程序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项目承接。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广东省司法厅（以下简称“省司法厅”）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在委托合同生效后的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3日内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已经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梳理、排序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待翻译的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规章文本电子版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交付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项目承接单位。项目承接单位按照合同约定的翻译要求对规章文本进行翻译，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zh-TW" w:eastAsia="zh-CN"/>
        </w:rPr>
        <w:t>不得晚于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2023年8月31日前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highlight w:val="none"/>
        </w:rPr>
        <w:t>完成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zh-TW"/>
        </w:rPr>
        <w:t>翻译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zh-TW" w:eastAsia="zh-CN"/>
        </w:rPr>
        <w:t>统稿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（二）提交初审。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项目承接单位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CN"/>
        </w:rPr>
        <w:t>翻译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统稿后，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约定的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规章翻译项目顺序，将所有规章译本汇编成册形成送审稿一式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司法厅初审。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司法厅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在收到送审稿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后，于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15日内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完成初步审查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对格式体例规范、专业术语准确的，予以接收；对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格式体例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不规范、语言文字表述有明显错误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，不予接收，并向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项目承接单位提出重新翻译或者修改的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，项目承接单位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的期限内重新报送。</w:t>
      </w:r>
    </w:p>
    <w:p>
      <w:pPr>
        <w:spacing w:before="0" w:beforeLines="0" w:beforeAutospacing="0" w:after="0" w:afterLines="0" w:afterAutospacing="0" w:line="560" w:lineRule="exact"/>
        <w:ind w:firstLine="645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（三）评审验收。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CN"/>
        </w:rPr>
        <w:t>省司法厅在通过初步审查后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一个月内组织专家对规章译本送审稿进行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CN"/>
        </w:rPr>
        <w:t>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，形成评审报告和规章译本评审稿。评审报告作为规章翻译项目成果是否达到验收标准的依据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（四）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校录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修改。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省司法厅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评审工作结束后，将规章译本评审稿送项目承接单位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校录。校录时，项目承接单位应当严格遵照评审稿的修改意见进行修改，并形成校录稿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省司法厅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645" w:leftChars="0" w:right="0" w:rightChars="0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三、翻译要求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程序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完善。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承接单位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CN"/>
        </w:rPr>
        <w:t>应当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完善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内部工作流程，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根据项目情况，按照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规章初译、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一审、二审、统稿、校录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程序制定工作方案，并定期向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省司法厅报告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工作进展情况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质量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保证。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项目承接单位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应当确保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翻译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译本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。翻译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译本应当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忠实于原文，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符合立法原意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，讲究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格式体例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规范，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专业术语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准确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语言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表达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流畅、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风格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统一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翻译过程中应当避免出现错解原意、“欠额”翻译、“超额”翻译、使生误解、表述繁琐或者前后表述不一致等现象。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（三）人员固定。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项目承接单位的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项目组成员名单不得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随意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变更，如因特殊情况确需变更的，应当征得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省司法厅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right="0" w:rightChars="0" w:firstLine="660"/>
        <w:jc w:val="left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项目费用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5"/>
        <w:textAlignment w:val="auto"/>
        <w:outlineLvl w:val="9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翻译费用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不高于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2元/字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，具体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有关规定、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市场价格、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项目数量和翻译内容难易程度与项目承接单位协商确定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60DCB"/>
    <w:multiLevelType w:val="singleLevel"/>
    <w:tmpl w:val="59B60DCB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AC430B7"/>
    <w:multiLevelType w:val="singleLevel"/>
    <w:tmpl w:val="5AC430B7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438BE"/>
    <w:rsid w:val="01F71FFE"/>
    <w:rsid w:val="10BE490E"/>
    <w:rsid w:val="120438BE"/>
    <w:rsid w:val="16101950"/>
    <w:rsid w:val="1AB35124"/>
    <w:rsid w:val="228C5AC8"/>
    <w:rsid w:val="24956A79"/>
    <w:rsid w:val="2F421414"/>
    <w:rsid w:val="33547C3B"/>
    <w:rsid w:val="37FC1445"/>
    <w:rsid w:val="396750B6"/>
    <w:rsid w:val="4218265D"/>
    <w:rsid w:val="4BD55C9A"/>
    <w:rsid w:val="721328B2"/>
    <w:rsid w:val="726E3141"/>
    <w:rsid w:val="78E6618E"/>
    <w:rsid w:val="7CB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link w:val="6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6">
    <w:name w:val="Char"/>
    <w:basedOn w:val="1"/>
    <w:link w:val="5"/>
    <w:uiPriority w:val="0"/>
    <w:pPr>
      <w:widowControl/>
      <w:spacing w:after="160" w:afterLines="0" w:afterAutospacing="0" w:line="240" w:lineRule="exact"/>
      <w:jc w:val="left"/>
    </w:pPr>
  </w:style>
  <w:style w:type="character" w:styleId="7">
    <w:name w:val="Strong"/>
    <w:basedOn w:val="5"/>
    <w:qFormat/>
    <w:uiPriority w:val="0"/>
    <w:rPr>
      <w:b/>
    </w:rPr>
  </w:style>
  <w:style w:type="character" w:styleId="8">
    <w:name w:val="Hyperlink"/>
    <w:basedOn w:val="5"/>
    <w:uiPriority w:val="0"/>
    <w:rPr>
      <w:color w:val="333333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省司法厅</Company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2023-04-24T07:10:00Z</dcterms:created>
  <dc:creator>王琼(省法治研究中心)</dc:creator>
  <cp:lastModifiedBy>admin</cp:lastModifiedBy>
  <dcterms:modified xsi:type="dcterms:W3CDTF">2023-04-25T02:14:09Z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