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2023年度省政府公布的规章目录</w:t>
      </w:r>
    </w:p>
    <w:tbl>
      <w:tblPr>
        <w:tblStyle w:val="9"/>
        <w:tblW w:w="15375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5938"/>
        <w:gridCol w:w="5970"/>
        <w:gridCol w:w="123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*序号</w:t>
            </w:r>
          </w:p>
        </w:tc>
        <w:tc>
          <w:tcPr>
            <w:tcW w:w="5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59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公布施行日期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令号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  <w:t>广东省洗砂管理办法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2023年1月14日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2023年4月1日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第299号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  <w:t>广东省事业单位公开招聘人员办法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2023年5月9日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2023年7月1日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第301号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  <w:t>广东省群防群治组织监督管理规定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2023年7月19日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2023年9月1日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第302号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  <w:t>广东省重大行政决策听证规定</w:t>
            </w:r>
          </w:p>
        </w:tc>
        <w:tc>
          <w:tcPr>
            <w:tcW w:w="5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2023年10月20日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2024年1月1日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第303号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  <w:t>广东省国有建设用地使用权交易市场管理规定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2023年10月23日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2024年1月1日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第304号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  <w:t>广东省道路货物运输超限超载治理办法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2023年11月16日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2024年1月1日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第305号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广东省消费品召回管理办法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2023年12月13日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公布，自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2024年2月1日起施行。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第308号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22994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1287"/>
    <w:rsid w:val="07816992"/>
    <w:rsid w:val="397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5">
    <w:name w:val="Char"/>
    <w:basedOn w:val="1"/>
    <w:link w:val="4"/>
    <w:uiPriority w:val="0"/>
    <w:pPr>
      <w:widowControl/>
      <w:spacing w:after="160" w:afterLines="0" w:afterAutospacing="0" w:line="240" w:lineRule="exact"/>
      <w:jc w:val="left"/>
    </w:pPr>
  </w:style>
  <w:style w:type="character" w:styleId="6">
    <w:name w:val="Strong"/>
    <w:basedOn w:val="4"/>
    <w:qFormat/>
    <w:uiPriority w:val="0"/>
    <w:rPr>
      <w:b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2024-05-14T07:20:00Z</dcterms:created>
  <dc:creator>王琼(省法治研究中心)</dc:creator>
  <cp:lastModifiedBy>admin</cp:lastModifiedBy>
  <dcterms:modified xsi:type="dcterms:W3CDTF">2024-05-17T06:45:42Z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